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10" w:right="0" w:firstLine="0"/>
        <w:spacing w:after="147" w:line="254" w:lineRule="auto"/>
        <w:jc w:val="center"/>
        <w:rPr>
          <w:b/>
          <w:sz w:val="28"/>
        </w:rPr>
      </w:pPr>
      <w:r>
        <w:rPr>
          <w:b/>
          <w:sz w:val="28"/>
        </w:rPr>
        <w:t>Uchwała Nr .../.../2025</w:t>
      </w:r>
    </w:p>
    <w:p>
      <w:pPr>
        <w:ind w:left="2803" w:right="2633" w:hanging="38"/>
        <w:spacing w:after="50" w:line="360" w:lineRule="auto"/>
        <w:jc w:val="left"/>
      </w:pPr>
      <w:r>
        <w:rPr>
          <w:b/>
          <w:sz w:val="28"/>
        </w:rPr>
        <w:t xml:space="preserve">Rady Powiatu Płońskiego </w:t>
        <w:tab/>
        <w:t xml:space="preserve"> z dnia ………………2025 roku </w:t>
      </w:r>
      <w:r/>
    </w:p>
    <w:p>
      <w:pPr>
        <w:ind w:left="117" w:right="177" w:hanging="10"/>
        <w:spacing w:after="16" w:line="247" w:lineRule="auto"/>
        <w:jc w:val="center"/>
      </w:pPr>
      <w:r>
        <w:rPr>
          <w:b/>
          <w:sz w:val="28"/>
        </w:rPr>
        <w:t>w sprawie określenia zadań, na które zostaną przeznaczone środki</w:t>
      </w:r>
      <w:r/>
    </w:p>
    <w:p>
      <w:pPr>
        <w:ind w:left="117" w:right="32" w:hanging="10"/>
        <w:spacing w:after="78" w:line="247" w:lineRule="auto"/>
        <w:jc w:val="center"/>
      </w:pPr>
      <w:r>
        <w:rPr>
          <w:b/>
          <w:sz w:val="28"/>
        </w:rPr>
        <w:t xml:space="preserve">Państwowego Funduszu Rehabilitacji Osób Niepełnosprawnych przyznane Powiatowi Płońskiemu zgodnie z algorytmem na 2025 rok </w:t>
      </w:r>
      <w:r/>
    </w:p>
    <w:p>
      <w:pPr>
        <w:ind w:left="0" w:right="0" w:firstLine="0"/>
        <w:spacing w:after="56" w:line="254" w:lineRule="auto"/>
        <w:jc w:val="center"/>
      </w:pPr>
      <w:r>
        <w:rPr>
          <w:b/>
          <w:sz w:val="28"/>
        </w:rPr>
        <w:t xml:space="preserve"> </w:t>
        <w:tab/>
      </w:r>
      <w:r>
        <w:t xml:space="preserve"> </w:t>
      </w:r>
    </w:p>
    <w:p>
      <w:pPr>
        <w:ind w:left="0" w:right="0" w:firstLine="0"/>
        <w:spacing w:after="96" w:line="254" w:lineRule="auto"/>
        <w:jc w:val="left"/>
      </w:pPr>
      <w:r>
        <w:t xml:space="preserve"> </w:t>
      </w:r>
    </w:p>
    <w:p>
      <w:pPr>
        <w:ind w:left="0" w:right="54" w:firstLine="708"/>
        <w:spacing w:after="103" w:line="252" w:lineRule="auto"/>
      </w:pPr>
      <w:r>
        <w:rPr>
          <w:szCs w:val="24"/>
        </w:rPr>
        <w:t>Na podstawie art. 35a ust.1 i 3 ustawy z dnia 27 sierpnia 1997 r. o rehabilitacji zawodowej i społecznej oraz zatrudnianiu osób niepełnosprawnych (t. j. Dz.U. z 2024 r.</w:t>
        <w:br w:type="textWrapping"/>
        <w:t>poz. 44 z późn. zm.), § 2 pkt.2 Rozporządzenia Rady Ministrów z dnia 13 maja 2003 roku</w:t>
        <w:br w:type="textWrapping"/>
        <w:t xml:space="preserve">w sprawie algorytmu przekazywania środków Państwowego Funduszu Rehabilitacji Osób Niepełnosprawnych samorządom wojewódzkim i powiatowym (t. j. Dz.U. z 2019 r. poz. 1605 z późn. zm.), Rozporządzenia Ministra Pracy i Polityki Społecznej z dnia 25 czerwca 2002 r. w sprawie określenia rodzajów zadań powiatu, które mogą być finansowane ze środków Państwowego Funduszu Rehabilitacji Osób Niepełnosprawnych (t. j. Dz.U. 2015 poz. 926 </w:t>
        <w:br w:type="textWrapping"/>
        <w:t xml:space="preserve">z pózn. zm.) Rada Powiatu uchwala co następuje: </w:t>
      </w:r>
      <w:r/>
    </w:p>
    <w:p>
      <w:pPr>
        <w:ind w:left="0" w:right="0" w:firstLine="0"/>
        <w:spacing w:after="96" w:line="254" w:lineRule="auto"/>
        <w:jc w:val="left"/>
      </w:pPr>
      <w:r>
        <w:t xml:space="preserve">  </w:t>
      </w:r>
    </w:p>
    <w:p>
      <w:pPr>
        <w:pStyle w:val="para1"/>
        <w:numPr>
          <w:ilvl w:val="0"/>
          <w:numId w:val="4"/>
        </w:numPr>
        <w:ind w:left="903" w:right="956" w:hanging="10"/>
        <w:spacing w:after="91" w:line="254" w:lineRule="auto"/>
      </w:pPr>
      <w:r>
        <w:t>§1</w:t>
      </w:r>
      <w:r>
        <w:rPr>
          <w:b w:val="0"/>
        </w:rPr>
        <w:t xml:space="preserve"> </w:t>
      </w:r>
      <w:r/>
    </w:p>
    <w:p>
      <w:pPr>
        <w:ind w:left="0" w:right="54" w:firstLine="0"/>
        <w:spacing w:after="97" w:line="254" w:lineRule="auto"/>
      </w:pPr>
      <w:r>
        <w:t>Środki Państwowego Funduszu Rehabilitacji Osób Niepełnosprawnych przyznane Powiatowi Płońskiemu zgodnie z algorytmem na 2025 r. przeznacza się na zadania określone</w:t>
        <w:br w:type="textWrapping"/>
        <w:t xml:space="preserve">w Załączniku do niniejszej uchwały. </w:t>
      </w:r>
    </w:p>
    <w:p>
      <w:pPr>
        <w:ind w:left="0" w:right="54" w:firstLine="0"/>
        <w:spacing w:after="97" w:line="254" w:lineRule="auto"/>
      </w:pPr>
      <w:r/>
    </w:p>
    <w:p>
      <w:pPr>
        <w:pStyle w:val="para1"/>
        <w:numPr>
          <w:ilvl w:val="0"/>
          <w:numId w:val="4"/>
        </w:numPr>
        <w:ind w:left="903" w:right="956" w:hanging="10"/>
        <w:spacing w:after="115" w:line="254" w:lineRule="auto"/>
      </w:pPr>
      <w:r>
        <w:t xml:space="preserve"> §2</w:t>
      </w:r>
      <w:r>
        <w:rPr>
          <w:b w:val="0"/>
        </w:rPr>
        <w:t xml:space="preserve"> </w:t>
      </w:r>
      <w:r/>
    </w:p>
    <w:p>
      <w:pPr>
        <w:ind w:left="0" w:right="54" w:firstLine="0"/>
        <w:spacing w:after="96" w:line="254" w:lineRule="auto"/>
      </w:pPr>
      <w:r>
        <w:t xml:space="preserve">Wykonanie Uchwały powierza się Zarządowi Powiatu Płońskiego. </w:t>
      </w:r>
    </w:p>
    <w:p>
      <w:pPr>
        <w:ind w:left="0" w:right="0" w:firstLine="0"/>
        <w:spacing w:after="23" w:line="254" w:lineRule="auto"/>
        <w:jc w:val="left"/>
      </w:pPr>
      <w:r/>
    </w:p>
    <w:p>
      <w:pPr>
        <w:pStyle w:val="para1"/>
        <w:numPr>
          <w:ilvl w:val="0"/>
          <w:numId w:val="4"/>
        </w:numPr>
        <w:ind w:left="903" w:right="956" w:hanging="10"/>
        <w:spacing w:after="115" w:line="254" w:lineRule="auto"/>
      </w:pPr>
      <w:r>
        <w:t>§ 3</w:t>
      </w:r>
    </w:p>
    <w:p>
      <w:pPr>
        <w:ind w:left="0" w:right="3538" w:firstLine="0"/>
        <w:spacing w:after="0"/>
      </w:pPr>
      <w:r>
        <w:t xml:space="preserve"> Uchwała wchodzi w życie z dniem podjęcia. </w:t>
      </w:r>
    </w:p>
    <w:p>
      <w:pPr>
        <w:ind w:left="0" w:right="3538" w:firstLine="0"/>
        <w:spacing w:after="0"/>
      </w:pPr>
      <w:r/>
    </w:p>
    <w:p>
      <w:pPr>
        <w:ind w:left="0" w:right="0" w:firstLine="0"/>
        <w:spacing w:after="96" w:line="254" w:lineRule="auto"/>
        <w:jc w:val="left"/>
      </w:pPr>
      <w:r>
        <w:t xml:space="preserve">                                                                                       </w:t>
        <w:tab/>
        <w:t xml:space="preserve">            </w:t>
      </w:r>
    </w:p>
    <w:p>
      <w:pPr>
        <w:ind w:left="10" w:right="933" w:hanging="10"/>
        <w:spacing w:after="0" w:line="254" w:lineRule="auto"/>
        <w:jc w:val="right"/>
      </w:pPr>
      <w:r>
        <w:t xml:space="preserve">    </w:t>
      </w:r>
      <w:r>
        <w:rPr>
          <w:b/>
        </w:rPr>
        <w:t xml:space="preserve"> Przewodniczący </w:t>
      </w:r>
      <w:r/>
    </w:p>
    <w:p>
      <w:pPr>
        <w:ind w:left="-5" w:right="0" w:hanging="10"/>
        <w:spacing w:after="10" w:line="245" w:lineRule="auto"/>
        <w:jc w:val="left"/>
      </w:pPr>
      <w:r>
        <w:rPr>
          <w:b/>
        </w:rPr>
        <w:t xml:space="preserve">                                                                                                    Rady Powiatu Płońskiego </w:t>
      </w:r>
      <w:r/>
    </w:p>
    <w:p>
      <w:pPr>
        <w:ind w:left="0" w:right="0" w:firstLine="0"/>
        <w:spacing w:after="0" w:line="254" w:lineRule="auto"/>
        <w:jc w:val="left"/>
      </w:pPr>
      <w:r>
        <w:rPr>
          <w:b/>
        </w:rPr>
        <w:t xml:space="preserve"> </w:t>
      </w:r>
      <w:r/>
    </w:p>
    <w:p>
      <w:pPr>
        <w:ind w:left="0" w:right="0" w:firstLine="0"/>
        <w:spacing w:after="0" w:line="254" w:lineRule="auto"/>
        <w:jc w:val="left"/>
      </w:pPr>
      <w:r>
        <w:rPr>
          <w:b/>
        </w:rPr>
        <w:t xml:space="preserve"> </w:t>
      </w:r>
      <w:r/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</w:t>
        <w:tab/>
        <w:t xml:space="preserve">   Andrzej Stolpa</w:t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0" w:right="0" w:firstLine="0"/>
        <w:spacing w:after="0" w:line="360" w:lineRule="auto"/>
        <w:contextualSpacing/>
        <w:jc w:val="left"/>
        <w:rPr>
          <w:b/>
          <w:szCs w:val="24"/>
          <w:u w:color="auto" w:val="single"/>
        </w:rPr>
      </w:pPr>
      <w:r>
        <w:rPr>
          <w:b/>
          <w:szCs w:val="24"/>
          <w:u w:color="auto" w:val="single"/>
        </w:rPr>
      </w:r>
    </w:p>
    <w:p>
      <w:pPr>
        <w:ind w:left="3442" w:right="0" w:firstLine="0"/>
        <w:spacing w:after="0" w:line="360" w:lineRule="auto"/>
        <w:contextualSpacing/>
        <w:jc w:val="left"/>
      </w:pPr>
      <w:r/>
    </w:p>
    <w:p>
      <w:pPr>
        <w:ind w:left="3442" w:right="0" w:firstLine="0"/>
        <w:spacing w:after="0" w:line="360" w:lineRule="auto"/>
        <w:contextualSpacing/>
        <w:jc w:val="left"/>
        <w:rPr>
          <w:b/>
          <w:szCs w:val="24"/>
          <w:u w:color="auto" w:val="single"/>
        </w:rPr>
      </w:pPr>
      <w:r>
        <w:rPr>
          <w:b/>
          <w:szCs w:val="24"/>
          <w:u w:color="auto" w:val="single"/>
        </w:rPr>
      </w:r>
    </w:p>
    <w:p>
      <w:pPr>
        <w:ind w:left="3442" w:right="0" w:firstLine="0"/>
        <w:spacing w:after="0" w:line="360" w:lineRule="auto"/>
        <w:contextualSpacing/>
        <w:jc w:val="left"/>
        <w:rPr>
          <w:b/>
          <w:szCs w:val="24"/>
          <w:u w:color="auto" w:val="single"/>
        </w:rPr>
      </w:pPr>
      <w:r>
        <w:rPr>
          <w:b/>
          <w:szCs w:val="24"/>
          <w:u w:color="auto" w:val="single"/>
        </w:rPr>
      </w:r>
    </w:p>
    <w:p>
      <w:pPr>
        <w:ind w:left="3442" w:right="0" w:firstLine="0"/>
        <w:spacing w:after="0" w:line="360" w:lineRule="auto"/>
        <w:contextualSpacing/>
        <w:jc w:val="left"/>
      </w:pPr>
      <w:r>
        <w:rPr>
          <w:b/>
          <w:szCs w:val="24"/>
          <w:u w:color="auto" w:val="single"/>
        </w:rPr>
        <w:t>U z a s a d n i e n i e</w:t>
      </w:r>
      <w:r>
        <w:rPr>
          <w:szCs w:val="24"/>
        </w:rPr>
        <w:t xml:space="preserve"> </w:t>
      </w:r>
      <w:r/>
    </w:p>
    <w:p>
      <w:pPr>
        <w:ind w:left="0" w:right="3" w:firstLine="0"/>
        <w:spacing w:after="0" w:line="360" w:lineRule="auto"/>
        <w:contextualSpacing/>
        <w:jc w:val="center"/>
      </w:pPr>
      <w:r>
        <w:rPr>
          <w:szCs w:val="24"/>
        </w:rPr>
        <w:t xml:space="preserve"> </w:t>
        <w:br w:type="textWrapping"/>
      </w:r>
      <w:r/>
    </w:p>
    <w:p>
      <w:pPr>
        <w:ind w:left="0" w:right="0" w:firstLine="708"/>
        <w:spacing w:after="6" w:line="360" w:lineRule="auto"/>
        <w:contextualSpacing/>
      </w:pPr>
      <w:r>
        <w:rPr>
          <w:szCs w:val="24"/>
        </w:rPr>
        <w:t xml:space="preserve">W celu zapewnienia pełnego wykorzystania środków Państwowego Funduszu Rehabilitacji Osób Niepełnosprawnych, na rehabilitację społeczną zostały przeznaczone środki w wysokości </w:t>
      </w:r>
      <w:r>
        <w:rPr>
          <w:b/>
          <w:szCs w:val="24"/>
        </w:rPr>
        <w:t>2 200 360,- zł</w:t>
      </w:r>
      <w:r>
        <w:rPr>
          <w:szCs w:val="24"/>
        </w:rPr>
        <w:t xml:space="preserve">, a na rehabilitację zawodową środki w wysokości </w:t>
        <w:br w:type="textWrapping"/>
      </w:r>
      <w:r>
        <w:rPr>
          <w:b/>
          <w:szCs w:val="24"/>
        </w:rPr>
        <w:t>80 000,- zł</w:t>
      </w:r>
      <w:r>
        <w:rPr>
          <w:szCs w:val="24"/>
        </w:rPr>
        <w:t xml:space="preserve">, tj. w łącznej wysokości </w:t>
      </w:r>
      <w:r>
        <w:rPr>
          <w:b/>
          <w:szCs w:val="24"/>
        </w:rPr>
        <w:t>2 280 360,- zł</w:t>
      </w:r>
      <w:r>
        <w:rPr>
          <w:szCs w:val="24"/>
        </w:rPr>
        <w:t xml:space="preserve"> zgodnie z algorytmem na 2025 rok. </w:t>
      </w:r>
      <w:r/>
    </w:p>
    <w:p>
      <w:pPr>
        <w:ind w:left="0" w:right="54" w:firstLine="708"/>
        <w:spacing w:after="176" w:line="360" w:lineRule="auto"/>
        <w:contextualSpacing/>
      </w:pPr>
      <w:r>
        <w:rPr>
          <w:szCs w:val="24"/>
        </w:rPr>
        <w:t>Katalog zadań, ustalony w załączniku do uchwały obejmuje wszystkie zadania, które</w:t>
        <w:br w:type="textWrapping"/>
        <w:t xml:space="preserve">w 2025 roku mogą być dofinansowane ze środków PFRON i które znajdują się w ustawie </w:t>
        <w:br w:type="textWrapping"/>
        <w:t xml:space="preserve">z dnia 27 sierpnia 1997 roku o rehabilitacji zawodowej i społecznej oraz zatrudnianiu osób niepełnosprawnych </w:t>
      </w:r>
      <w:r>
        <w:t>(t. j. Dz.U. z 2024 r. poz. 44 z późn. zm.).</w:t>
      </w:r>
    </w:p>
    <w:p>
      <w:pPr>
        <w:ind w:left="0" w:right="953" w:firstLine="0"/>
        <w:spacing w:after="0" w:line="245" w:lineRule="auto"/>
        <w:jc w:val="left"/>
        <w:rPr>
          <w:b/>
          <w:szCs w:val="24"/>
        </w:rPr>
      </w:pPr>
      <w:r>
        <w:rPr>
          <w:b/>
          <w:szCs w:val="24"/>
        </w:rPr>
      </w:r>
    </w:p>
    <w:p>
      <w:pPr>
        <w:ind w:left="-5" w:right="953" w:hanging="10"/>
        <w:spacing w:after="0" w:line="245" w:lineRule="auto"/>
        <w:jc w:val="left"/>
        <w:rPr>
          <w:b/>
          <w:szCs w:val="24"/>
        </w:rPr>
      </w:pPr>
      <w:r>
        <w:rPr>
          <w:b/>
          <w:szCs w:val="24"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-5" w:right="953" w:hanging="10"/>
        <w:spacing w:after="0" w:line="245" w:lineRule="auto"/>
        <w:jc w:val="left"/>
        <w:rPr>
          <w:b/>
        </w:rPr>
      </w:pPr>
      <w:r>
        <w:rPr>
          <w:b/>
        </w:rPr>
      </w:r>
    </w:p>
    <w:p>
      <w:pPr>
        <w:ind w:left="0" w:right="0" w:firstLine="0"/>
        <w:spacing w:after="0" w:line="254" w:lineRule="auto"/>
        <w:jc w:val="right"/>
        <w:rPr>
          <w:b/>
        </w:rPr>
      </w:pPr>
      <w:r>
        <w:rPr>
          <w:b/>
        </w:rPr>
        <w:t>Załącznik</w:t>
        <w:br w:type="textWrapping"/>
        <w:t>do Uchwały nr .../.../2025</w:t>
      </w:r>
    </w:p>
    <w:p>
      <w:pPr>
        <w:ind w:left="4537" w:right="0" w:firstLine="0"/>
        <w:spacing w:after="0" w:line="254" w:lineRule="auto"/>
        <w:jc w:val="right"/>
      </w:pPr>
      <w:r>
        <w:rPr>
          <w:b/>
        </w:rPr>
        <w:t>Rady Powiatu Płońskiego</w:t>
      </w:r>
      <w:r/>
    </w:p>
    <w:p>
      <w:pPr>
        <w:ind w:left="6044" w:right="0" w:firstLine="0"/>
        <w:spacing w:after="0" w:line="360" w:lineRule="auto"/>
        <w:contextualSpacing/>
        <w:jc w:val="right"/>
      </w:pPr>
      <w:r>
        <w:rPr>
          <w:b/>
        </w:rPr>
        <w:t xml:space="preserve">z dnia …………….2025 roku </w:t>
      </w:r>
      <w:r/>
    </w:p>
    <w:p>
      <w:pPr>
        <w:ind w:left="0" w:right="0" w:firstLine="0"/>
        <w:spacing w:after="19" w:line="254" w:lineRule="auto"/>
        <w:jc w:val="left"/>
        <w:rPr>
          <w:b/>
        </w:rPr>
      </w:pPr>
      <w:r>
        <w:rPr>
          <w:b/>
        </w:rPr>
      </w:r>
    </w:p>
    <w:p>
      <w:pPr>
        <w:ind w:left="386" w:right="0" w:firstLine="0"/>
        <w:spacing w:after="106" w:line="254" w:lineRule="auto"/>
        <w:jc w:val="left"/>
      </w:pPr>
      <w:r>
        <w:rPr>
          <w:b/>
          <w:sz w:val="26"/>
        </w:rPr>
        <w:t>Katalog zadań, które mogą być finansowane ze środków PFRON w 2025 r.</w:t>
      </w:r>
      <w:r>
        <w:rPr>
          <w:b/>
        </w:rPr>
        <w:t xml:space="preserve"> </w:t>
      </w:r>
      <w:r/>
    </w:p>
    <w:p>
      <w:pPr>
        <w:ind w:right="0" w:hanging="10"/>
        <w:spacing w:after="169" w:line="245" w:lineRule="auto"/>
        <w:jc w:val="left"/>
      </w:pPr>
      <w:r>
        <w:rPr>
          <w:b/>
          <w:sz w:val="23"/>
        </w:rPr>
        <w:t>1.</w:t>
      </w:r>
      <w:r>
        <w:rPr>
          <w:rFonts w:ascii="Arial" w:hAnsi="Arial" w:eastAsia="Arial" w:cs="Arial"/>
          <w:sz w:val="23"/>
        </w:rPr>
        <w:t xml:space="preserve"> </w:t>
      </w:r>
      <w:r>
        <w:rPr>
          <w:b/>
        </w:rPr>
        <w:t>Z zakresu rehabilitacji zawodowej:</w:t>
      </w:r>
      <w:r>
        <w:rPr>
          <w:sz w:val="23"/>
        </w:rPr>
        <w:t xml:space="preserve"> </w:t>
      </w:r>
      <w:r/>
    </w:p>
    <w:p>
      <w:pPr>
        <w:numPr>
          <w:ilvl w:val="0"/>
          <w:numId w:val="3"/>
        </w:numPr>
        <w:ind w:left="693" w:right="44" w:hanging="348"/>
        <w:spacing w:after="3" w:line="396" w:lineRule="auto"/>
        <w:tabs defTabSz="708">
          <w:tab w:val="left" w:pos="708" w:leader="none"/>
        </w:tabs>
      </w:pPr>
      <w:r>
        <w:rPr>
          <w:sz w:val="23"/>
        </w:rPr>
        <w:t xml:space="preserve">zwrot wydatków na instrumenty i usługi rynku pracy dla osób niepełnosprawnych poszukujących pracy i nie pozostających w zatrudnieniu (art. 11), </w:t>
      </w:r>
      <w:r/>
    </w:p>
    <w:p>
      <w:pPr>
        <w:numPr>
          <w:ilvl w:val="0"/>
          <w:numId w:val="3"/>
        </w:numPr>
        <w:ind w:left="693" w:right="44" w:hanging="348"/>
        <w:spacing w:after="3"/>
        <w:tabs defTabSz="708">
          <w:tab w:val="left" w:pos="708" w:leader="none"/>
        </w:tabs>
      </w:pPr>
      <w:r>
        <w:rPr>
          <w:sz w:val="23"/>
        </w:rPr>
        <w:t xml:space="preserve">przyznawanie osobom niepełnosprawnym środków na podjęcie działalności gospodarczej, rolniczej albo na wniesienie wkładu do spółdzielni socjalnej (art. 12a),  </w:t>
      </w:r>
      <w:r/>
    </w:p>
    <w:p>
      <w:pPr>
        <w:numPr>
          <w:ilvl w:val="0"/>
          <w:numId w:val="3"/>
        </w:numPr>
        <w:ind w:left="693" w:right="44" w:hanging="348"/>
        <w:spacing w:after="138" w:line="254" w:lineRule="auto"/>
        <w:tabs defTabSz="708">
          <w:tab w:val="left" w:pos="708" w:leader="none"/>
        </w:tabs>
      </w:pPr>
      <w:r>
        <w:rPr>
          <w:sz w:val="23"/>
        </w:rPr>
        <w:t xml:space="preserve">dokonywanie zwrotu kosztów poniesionych przez pracodawcę na: </w:t>
      </w:r>
      <w:r/>
    </w:p>
    <w:p>
      <w:pPr>
        <w:numPr>
          <w:ilvl w:val="1"/>
          <w:numId w:val="3"/>
        </w:numPr>
        <w:ind w:left="994" w:right="44" w:hanging="286"/>
        <w:spacing w:after="9" w:line="372" w:lineRule="auto"/>
        <w:tabs defTabSz="708">
          <w:tab w:val="left" w:pos="708" w:leader="none"/>
        </w:tabs>
      </w:pPr>
      <w:r>
        <w:rPr>
          <w:sz w:val="23"/>
        </w:rPr>
        <w:t>adaptację pomieszczeń zakładu pracy do</w:t>
        <w:tab/>
        <w:t>potrzeb osób niepełnosprawnych,</w:t>
        <w:br w:type="textWrapping"/>
        <w:t xml:space="preserve">w szczególności poniesionych w związku z przystosowaniem tworzonych lub istniejących stanowisk pracy dla tych osób, stosownie do potrzeb wynikających z ich niepełnosprawności (art. 26 ust. 1 pkt 1), </w:t>
      </w:r>
      <w:r/>
    </w:p>
    <w:p>
      <w:pPr>
        <w:numPr>
          <w:ilvl w:val="1"/>
          <w:numId w:val="3"/>
        </w:numPr>
        <w:ind w:left="994" w:right="44" w:hanging="286"/>
        <w:spacing w:after="3" w:line="360" w:lineRule="auto"/>
        <w:tabs defTabSz="708">
          <w:tab w:val="left" w:pos="708" w:leader="none"/>
        </w:tabs>
      </w:pPr>
      <w:r>
        <w:rPr>
          <w:sz w:val="23"/>
        </w:rPr>
        <w:t xml:space="preserve">adaptację lub nabycie urządzeń ułatwiających osobie niepełnosprawnej wykonywanie pracy lub funkcjonowanie w zakładzie pracy (art. 26 ust. 1 pkt 1b), </w:t>
      </w:r>
      <w:r/>
    </w:p>
    <w:p>
      <w:pPr>
        <w:numPr>
          <w:ilvl w:val="1"/>
          <w:numId w:val="3"/>
        </w:numPr>
        <w:ind w:left="994" w:right="44" w:hanging="286"/>
        <w:spacing w:after="3" w:line="372" w:lineRule="auto"/>
        <w:tabs defTabSz="708">
          <w:tab w:val="left" w:pos="708" w:leader="none"/>
        </w:tabs>
      </w:pPr>
      <w:r>
        <w:rPr>
          <w:sz w:val="23"/>
        </w:rPr>
        <w:t>zakup i autoryzację oprogramowania na użytek pracowników niepełnosprawnych oraz urządzeń technologii wspomagających lub przystosowanych do potrzeb wynikających</w:t>
        <w:br w:type="textWrapping"/>
        <w:t xml:space="preserve">z ich niepełnosprawności (art. 26 ust. 1 pkt 1c), </w:t>
      </w:r>
      <w:r/>
    </w:p>
    <w:p>
      <w:pPr>
        <w:numPr>
          <w:ilvl w:val="1"/>
          <w:numId w:val="3"/>
        </w:numPr>
        <w:ind w:left="994" w:right="44" w:hanging="286"/>
        <w:spacing w:after="39" w:line="353" w:lineRule="auto"/>
        <w:tabs defTabSz="708">
          <w:tab w:val="left" w:pos="708" w:leader="none"/>
        </w:tabs>
      </w:pPr>
      <w:r>
        <w:rPr>
          <w:sz w:val="23"/>
        </w:rPr>
        <w:t xml:space="preserve">rozpoznanie przez służby medycyny pracy potrzeb, o których mowa w ppkt. c (art. 26 ust. 1 pkt 2), </w:t>
      </w:r>
      <w:r/>
    </w:p>
    <w:p>
      <w:pPr>
        <w:numPr>
          <w:ilvl w:val="0"/>
          <w:numId w:val="3"/>
        </w:numPr>
        <w:ind w:left="693" w:right="44" w:hanging="348"/>
        <w:spacing w:after="3" w:line="353" w:lineRule="auto"/>
        <w:tabs defTabSz="708">
          <w:tab w:val="left" w:pos="708" w:leader="none"/>
        </w:tabs>
      </w:pPr>
      <w:r>
        <w:rPr>
          <w:sz w:val="23"/>
        </w:rPr>
        <w:t xml:space="preserve">dokonywanie zwrotu miesięcznych kosztów zatrudnienia pracowników pomagających pracownikowi niepełnosprawnemu w pracy oraz kosztów szkolenia tych pracowników </w:t>
      </w:r>
      <w:r/>
    </w:p>
    <w:p>
      <w:pPr>
        <w:ind w:left="730" w:right="44" w:hanging="10"/>
        <w:spacing w:after="131" w:line="254" w:lineRule="auto"/>
      </w:pPr>
      <w:r>
        <w:rPr>
          <w:sz w:val="23"/>
        </w:rPr>
        <w:t xml:space="preserve">(art. 26d) </w:t>
      </w:r>
      <w:r/>
    </w:p>
    <w:p>
      <w:pPr>
        <w:numPr>
          <w:ilvl w:val="0"/>
          <w:numId w:val="3"/>
        </w:numPr>
        <w:ind w:left="693" w:right="44" w:hanging="348"/>
        <w:spacing w:after="110" w:line="254" w:lineRule="auto"/>
        <w:tabs defTabSz="708">
          <w:tab w:val="left" w:pos="708" w:leader="none"/>
        </w:tabs>
      </w:pPr>
      <w:r>
        <w:rPr>
          <w:sz w:val="23"/>
        </w:rPr>
        <w:t xml:space="preserve">dokonywanie zwrotu kosztów wyposażenia stanowiska pracy osoby niepełnosprawnej  </w:t>
      </w:r>
      <w:r/>
    </w:p>
    <w:p>
      <w:pPr>
        <w:ind w:left="730" w:right="44" w:hanging="10"/>
        <w:spacing w:after="119" w:line="254" w:lineRule="auto"/>
      </w:pPr>
      <w:r>
        <w:rPr>
          <w:sz w:val="23"/>
        </w:rPr>
        <w:t xml:space="preserve">(art. 26e),  </w:t>
      </w:r>
      <w:r/>
    </w:p>
    <w:p>
      <w:pPr>
        <w:numPr>
          <w:ilvl w:val="0"/>
          <w:numId w:val="3"/>
        </w:numPr>
        <w:ind w:left="693" w:right="44" w:hanging="348"/>
        <w:spacing w:after="3" w:line="384" w:lineRule="auto"/>
        <w:tabs defTabSz="708">
          <w:tab w:val="left" w:pos="708" w:leader="none"/>
        </w:tabs>
      </w:pPr>
      <w:r>
        <w:rPr>
          <w:sz w:val="23"/>
        </w:rPr>
        <w:t xml:space="preserve">finansowanie </w:t>
        <w:tab/>
        <w:t xml:space="preserve">kosztów szkolenia i przekwalifikowania zawodowego osób niepełnosprawnych (art. 40),  </w:t>
      </w:r>
      <w:r/>
    </w:p>
    <w:p>
      <w:pPr>
        <w:numPr>
          <w:ilvl w:val="0"/>
          <w:numId w:val="3"/>
        </w:numPr>
        <w:ind w:left="693" w:right="44" w:hanging="348"/>
        <w:spacing w:after="3" w:line="384" w:lineRule="auto"/>
        <w:tabs defTabSz="708">
          <w:tab w:val="left" w:pos="708" w:leader="none"/>
        </w:tabs>
      </w:pPr>
      <w:r>
        <w:rPr>
          <w:sz w:val="23"/>
        </w:rPr>
        <w:t>dokonywanie zwrotu kosztów poniesionych przez pracodawcę na szkolenia zatrudnionych osób niepełnosprawnych (art.41).</w:t>
      </w:r>
      <w:r/>
    </w:p>
    <w:p>
      <w:pPr>
        <w:ind w:right="0" w:hanging="10"/>
        <w:spacing w:after="133" w:line="245" w:lineRule="auto"/>
        <w:jc w:val="left"/>
      </w:pPr>
      <w:r>
        <w:rPr>
          <w:b/>
          <w:sz w:val="23"/>
          <w:szCs w:val="23"/>
        </w:rPr>
        <w:t>2.</w:t>
      </w:r>
      <w:r>
        <w:rPr>
          <w:rFonts w:ascii="Arial" w:hAnsi="Arial" w:eastAsia="Arial" w:cs="Arial"/>
          <w:sz w:val="23"/>
        </w:rPr>
        <w:t xml:space="preserve"> </w:t>
      </w:r>
      <w:r>
        <w:rPr>
          <w:b/>
        </w:rPr>
        <w:t>Z zakresu rehabilitacji społecznej:</w:t>
      </w:r>
      <w:r>
        <w:rPr>
          <w:sz w:val="23"/>
        </w:rPr>
        <w:t xml:space="preserve"> </w:t>
      </w:r>
      <w:r/>
    </w:p>
    <w:p>
      <w:pPr>
        <w:numPr>
          <w:ilvl w:val="0"/>
          <w:numId w:val="5"/>
        </w:numPr>
        <w:ind w:left="693" w:right="44" w:hanging="348"/>
        <w:spacing w:after="3" w:line="353" w:lineRule="auto"/>
        <w:tabs defTabSz="708">
          <w:tab w:val="left" w:pos="708" w:leader="none"/>
        </w:tabs>
      </w:pPr>
      <w:r>
        <w:rPr>
          <w:sz w:val="23"/>
        </w:rPr>
        <w:t>dofinansowanie zaopatrzenia w sprzęt rehabilitacyjny dla osób prawnych i jednostek organizacyjnych nie posiadających osobowości prawnej (art.35a ust.4),</w:t>
      </w:r>
      <w:r/>
    </w:p>
    <w:p>
      <w:pPr>
        <w:numPr>
          <w:ilvl w:val="0"/>
          <w:numId w:val="5"/>
        </w:numPr>
        <w:ind w:left="693" w:right="44" w:hanging="348"/>
        <w:spacing w:after="3" w:line="353" w:lineRule="auto"/>
        <w:tabs defTabSz="708">
          <w:tab w:val="left" w:pos="708" w:leader="none"/>
        </w:tabs>
      </w:pPr>
      <w:r>
        <w:rPr>
          <w:sz w:val="23"/>
        </w:rPr>
        <w:t xml:space="preserve">dofinansowanie uczestnictwa osób niepełnosprawnych i ich opiekunów w turnusach rehabilitacyjnych (art. 35a ust. 1 pkt 7 ppkt a), </w:t>
      </w:r>
      <w:r/>
    </w:p>
    <w:p>
      <w:pPr>
        <w:numPr>
          <w:ilvl w:val="0"/>
          <w:numId w:val="5"/>
        </w:numPr>
        <w:ind w:left="693" w:right="44" w:hanging="348"/>
        <w:spacing w:after="3" w:line="254" w:lineRule="auto"/>
        <w:tabs defTabSz="708">
          <w:tab w:val="left" w:pos="708" w:leader="none"/>
        </w:tabs>
      </w:pPr>
      <w:r>
        <w:rPr>
          <w:sz w:val="23"/>
        </w:rPr>
        <w:t xml:space="preserve">dofinansowanie sportu, kultury, rekreacji i turystyki osób niepełnosprawnych (art.35a ust. </w:t>
      </w:r>
      <w:r/>
    </w:p>
    <w:p>
      <w:pPr>
        <w:numPr>
          <w:ilvl w:val="1"/>
          <w:numId w:val="5"/>
        </w:numPr>
        <w:ind w:left="893" w:right="44" w:hanging="173"/>
        <w:spacing w:after="120" w:line="254" w:lineRule="auto"/>
        <w:tabs defTabSz="708">
          <w:tab w:val="left" w:pos="708" w:leader="none"/>
        </w:tabs>
      </w:pPr>
      <w:r>
        <w:rPr>
          <w:sz w:val="23"/>
        </w:rPr>
        <w:t xml:space="preserve">pkt 7 ppkt b), </w:t>
      </w:r>
      <w:r/>
    </w:p>
    <w:p>
      <w:pPr>
        <w:numPr>
          <w:ilvl w:val="0"/>
          <w:numId w:val="5"/>
        </w:numPr>
        <w:ind w:left="693" w:right="44" w:hanging="348"/>
        <w:spacing w:after="3" w:line="372" w:lineRule="auto"/>
        <w:tabs defTabSz="708">
          <w:tab w:val="left" w:pos="708" w:leader="none"/>
        </w:tabs>
      </w:pPr>
      <w:r>
        <w:rPr>
          <w:sz w:val="23"/>
        </w:rPr>
        <w:t xml:space="preserve">dofinansowanie zaopatrzenia w sprzęt rehabilitacyjny, przedmioty ortopedyczne i środki pomocnicze przyznawane osobom niepełnosprawnym na podstawie odrębnych przepisów </w:t>
      </w:r>
      <w:r/>
    </w:p>
    <w:p>
      <w:pPr>
        <w:ind w:left="730" w:right="44" w:hanging="10"/>
        <w:spacing w:after="141" w:line="254" w:lineRule="auto"/>
      </w:pPr>
      <w:r>
        <w:rPr>
          <w:sz w:val="23"/>
        </w:rPr>
        <w:t xml:space="preserve">(art. 35a ust.1 pkt 7 ppkt c), </w:t>
      </w:r>
      <w:r/>
    </w:p>
    <w:p>
      <w:pPr>
        <w:numPr>
          <w:ilvl w:val="0"/>
          <w:numId w:val="5"/>
        </w:numPr>
        <w:ind w:left="693" w:right="44" w:hanging="348"/>
        <w:spacing w:after="3" w:line="353" w:lineRule="auto"/>
        <w:tabs defTabSz="708">
          <w:tab w:val="left" w:pos="708" w:leader="none"/>
        </w:tabs>
      </w:pPr>
      <w:r>
        <w:rPr>
          <w:sz w:val="23"/>
        </w:rPr>
        <w:t xml:space="preserve">dofinansowanie likwidacji barier architektonicznych, w komunikowaniu się </w:t>
        <w:br w:type="textWrapping"/>
        <w:t xml:space="preserve">i technicznych, w związku z indywidualnymi potrzebami osób niepełnosprawnych </w:t>
      </w:r>
      <w:r>
        <w:br w:type="textWrapping"/>
      </w:r>
      <w:r>
        <w:rPr>
          <w:sz w:val="23"/>
        </w:rPr>
        <w:t xml:space="preserve">(art. 35a ust. 1 pkt. 7 ppkt d), </w:t>
      </w:r>
      <w:r/>
    </w:p>
    <w:p>
      <w:pPr>
        <w:numPr>
          <w:ilvl w:val="0"/>
          <w:numId w:val="5"/>
        </w:numPr>
        <w:ind w:left="693" w:right="44" w:hanging="348"/>
        <w:spacing w:after="108" w:line="254" w:lineRule="auto"/>
        <w:tabs defTabSz="708">
          <w:tab w:val="left" w:pos="708" w:leader="none"/>
        </w:tabs>
      </w:pPr>
      <w:r>
        <w:rPr>
          <w:sz w:val="23"/>
        </w:rPr>
        <w:t xml:space="preserve">dofinansowanie kosztów tworzenia i działania warsztatów terapii zajęciowej (art. 35a ust. </w:t>
      </w:r>
      <w:r/>
    </w:p>
    <w:p>
      <w:pPr>
        <w:numPr>
          <w:ilvl w:val="1"/>
          <w:numId w:val="5"/>
        </w:numPr>
        <w:ind w:left="893" w:right="44" w:hanging="173"/>
        <w:spacing w:after="108" w:line="254" w:lineRule="auto"/>
        <w:tabs defTabSz="708">
          <w:tab w:val="left" w:pos="708" w:leader="none"/>
        </w:tabs>
      </w:pPr>
      <w:r>
        <w:rPr>
          <w:sz w:val="23"/>
        </w:rPr>
        <w:t xml:space="preserve">pkt 8). </w:t>
      </w:r>
      <w:r/>
    </w:p>
    <w:p>
      <w:pPr>
        <w:ind w:right="0"/>
        <w:spacing w:after="112" w:line="254" w:lineRule="auto"/>
        <w:jc w:val="left"/>
        <w:rPr>
          <w:sz w:val="8"/>
          <w:szCs w:val="6"/>
        </w:rPr>
      </w:pPr>
      <w:r>
        <w:rPr>
          <w:sz w:val="8"/>
          <w:szCs w:val="6"/>
        </w:rPr>
      </w:r>
    </w:p>
    <w:p>
      <w:pPr>
        <w:ind w:left="0" w:right="45" w:firstLine="357"/>
        <w:spacing w:after="3" w:line="360" w:lineRule="auto"/>
        <w:contextualSpacing/>
      </w:pPr>
      <w:r>
        <w:rPr>
          <w:sz w:val="23"/>
        </w:rPr>
        <w:t xml:space="preserve">Na finansowanie zadań z zakresu rehabilitacji zawodowej przeznacza się środki Funduszu </w:t>
        <w:br w:type="textWrapping"/>
        <w:t xml:space="preserve">w wysokości </w:t>
      </w:r>
      <w:r>
        <w:rPr>
          <w:b/>
          <w:sz w:val="23"/>
        </w:rPr>
        <w:t>80 000,- zł</w:t>
      </w:r>
      <w:r>
        <w:rPr>
          <w:sz w:val="23"/>
        </w:rPr>
        <w:t xml:space="preserve">, z zakresu rehabilitacji społecznej w wysokości </w:t>
      </w:r>
      <w:r>
        <w:rPr>
          <w:b/>
          <w:sz w:val="23"/>
        </w:rPr>
        <w:t>2 200 360,- zł</w:t>
      </w:r>
      <w:r>
        <w:rPr>
          <w:sz w:val="23"/>
        </w:rPr>
        <w:t>,</w:t>
        <w:br w:type="textWrapping"/>
        <w:t xml:space="preserve">tj. w łącznej wysokości </w:t>
      </w:r>
      <w:r>
        <w:rPr>
          <w:b/>
          <w:sz w:val="23"/>
        </w:rPr>
        <w:t>2 280 360,- zł</w:t>
      </w:r>
      <w:r>
        <w:rPr>
          <w:sz w:val="23"/>
        </w:rPr>
        <w:t xml:space="preserve"> zgodnie z algorytmem na 2025 rok.  </w:t>
      </w:r>
      <w:r/>
    </w:p>
    <w:p>
      <w:pPr>
        <w:ind w:left="0" w:right="45" w:firstLine="357"/>
        <w:spacing w:after="3" w:line="360" w:lineRule="auto"/>
        <w:contextualSpacing/>
      </w:pPr>
      <w:r>
        <w:rPr>
          <w:sz w:val="23"/>
        </w:rPr>
        <w:t xml:space="preserve">Zgodnie z §7 ust.1 rozporządzenia Rady Ministrów z dnia 13 maja 2003 roku w sprawie algorytmu przekazywania środków Państwowego Funduszu Rehabilitacji Osób Niepełnosprawnych samorządom wojewódzkim i powiatowym (t. j. Dz.U. z 2019 r. </w:t>
        <w:br w:type="textWrapping"/>
        <w:t>poz. 1605 z późn. zm.) na faktyczne koszty obsługi poniesione przez Powiat, przekazywane środki Funduszu powiększa się nie więcej niż o 2,5% środków wykorzystanych na realizację zadań w danym roku kalendarzowym.</w:t>
      </w:r>
      <w:r>
        <w:t xml:space="preserve"> </w:t>
      </w:r>
    </w:p>
    <w:tbl>
      <w:tblPr>
        <w:tblStyle w:val="TableNormal"/>
        <w:name w:val="Tabela2"/>
        <w:tabOrder w:val="0"/>
        <w:jc w:val="left"/>
        <w:tblInd w:w="-35" w:type="dxa"/>
        <w:tblW w:w="9043" w:type="dxa"/>
        <w:pPr>
          <w:ind w:left="-35"/>
          <w:spacing/>
          <w:jc w:val="left"/>
        </w:pPr>
        <w:tblLook w:val="04A0" w:firstRow="1" w:lastRow="0" w:firstColumn="1" w:lastColumn="0" w:noHBand="0" w:noVBand="1"/>
      </w:tblPr>
      <w:tblGrid>
        <w:gridCol w:w="7639"/>
        <w:gridCol w:w="1404"/>
      </w:tblGrid>
      <w:tr>
        <w:trPr>
          <w:tblHeader w:val="0"/>
          <w:cantSplit w:val="0"/>
          <w:trHeight w:val="168" w:hRule="atLeast"/>
        </w:trPr>
        <w:tc>
          <w:tcPr>
            <w:tcW w:w="7639" w:type="dxa"/>
            <w:vAlign w:val="center"/>
            <w:shd w:val="solid" w:color="CCCCCC" tmshd="6553856, 13421772, 16777215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  <w:rPr>
                <w:sz w:val="22"/>
              </w:rPr>
            </w:pPr>
            <w:r>
              <w:rPr>
                <w:b/>
                <w:szCs w:val="24"/>
              </w:rPr>
              <w:t>Zadania z zakresu REHABILITACJI SPOŁECZNEJ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</w:p>
        </w:tc>
        <w:tc>
          <w:tcPr>
            <w:tcW w:w="1404" w:type="dxa"/>
            <w:vAlign w:val="center"/>
            <w:shd w:val="solid" w:color="CCCCCC" tmshd="6553856, 13421772, 16777215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0" w:firstLine="0"/>
              <w:spacing w:after="160" w:line="252" w:lineRule="auto"/>
              <w:jc w:val="left"/>
              <w:widowControl w:val="0"/>
            </w:pPr>
            <w:r/>
          </w:p>
        </w:tc>
      </w:tr>
      <w:tr>
        <w:trPr>
          <w:tblHeader w:val="0"/>
          <w:cantSplit w:val="0"/>
          <w:trHeight w:val="541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widowControl w:val="0"/>
            </w:pPr>
            <w:r>
              <w:rPr>
                <w:sz w:val="18"/>
              </w:rPr>
              <w:t xml:space="preserve">Dofinansowanie uczestnictwa osób niepełnosprawnych i ich opiekunów w turnusach rehabilitacyjnych    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-12" w:right="0" w:firstLine="0"/>
              <w:spacing w:after="0" w:line="252" w:lineRule="auto"/>
              <w:jc w:val="left"/>
              <w:widowControl w:val="0"/>
              <w:tabs defTabSz="708">
                <w:tab w:val="right" w:pos="1404" w:leader="none"/>
              </w:tabs>
            </w:pPr>
            <w:r>
              <w:rPr>
                <w:sz w:val="28"/>
                <w:vertAlign w:val="superscript"/>
              </w:rPr>
              <w:t xml:space="preserve"> </w:t>
              <w:tab/>
            </w:r>
            <w:r>
              <w:rPr>
                <w:b/>
                <w:sz w:val="22"/>
                <w:u w:color="auto" w:val="single"/>
              </w:rPr>
              <w:t>250 000,- zł</w:t>
            </w:r>
            <w:r/>
          </w:p>
        </w:tc>
      </w:tr>
      <w:tr>
        <w:trPr>
          <w:tblHeader w:val="0"/>
          <w:cantSplit w:val="0"/>
          <w:trHeight w:val="612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Dofinansowanie sportu, kultury, rekreacji i turystyki dla osób niepełnosprawnych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45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67 950,- zł</w:t>
            </w:r>
            <w:r/>
          </w:p>
        </w:tc>
      </w:tr>
      <w:tr>
        <w:trPr>
          <w:tblHeader w:val="0"/>
          <w:cantSplit w:val="0"/>
          <w:trHeight w:val="612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Dofinansowanie zaopatrzenia w sprzęt rehabilitacyjny, przedmioty ortopedyczne i środki pomocnicze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4" w:space="0" w:color="000000" tmln="10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42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532 510,- zł</w:t>
            </w:r>
            <w:r/>
          </w:p>
        </w:tc>
      </w:tr>
      <w:tr>
        <w:trPr>
          <w:tblHeader w:val="0"/>
          <w:cantSplit w:val="0"/>
          <w:trHeight w:val="612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 xml:space="preserve">Dofinansowanie zaopatrzenia w sprzęt rehabilitacyjny (dla osób fizycznych prowadzących działalność </w:t>
            </w:r>
            <w:r/>
          </w:p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gospodarczą, osób prawnych i jednostek organizacyjnych nieposiadających osobowości prawnej)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left w:val="single" w:sz="2" w:space="0" w:color="000000" tmln="5, 20, 20, 0, 0"/>
              <w:bottom w:val="single" w:sz="4" w:space="0" w:color="000000" tmln="10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42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70 000,- zł</w:t>
            </w:r>
            <w:r/>
          </w:p>
        </w:tc>
      </w:tr>
      <w:tr>
        <w:trPr>
          <w:tblHeader w:val="0"/>
          <w:cantSplit w:val="0"/>
          <w:trHeight w:val="474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4" w:space="0" w:color="000000" tmln="10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Dofinansowanie likwidacji barier architektonicznych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901957" protected="0"/>
          </w:tcPr>
          <w:p>
            <w:pPr>
              <w:ind w:left="0" w:right="42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300 000,- zł</w:t>
            </w:r>
            <w:r/>
          </w:p>
        </w:tc>
      </w:tr>
      <w:tr>
        <w:trPr>
          <w:tblHeader w:val="0"/>
          <w:cantSplit w:val="0"/>
          <w:trHeight w:val="523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4" w:space="0" w:color="000000" tmln="10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Dofinansowanie likwidacji barier w komunikowaniu się i technicznych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901957" protected="0"/>
          </w:tcPr>
          <w:p>
            <w:pPr>
              <w:ind w:left="0" w:right="42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100 000,- zł</w:t>
            </w:r>
            <w:r/>
          </w:p>
        </w:tc>
      </w:tr>
      <w:tr>
        <w:trPr>
          <w:tblHeader w:val="0"/>
          <w:cantSplit w:val="0"/>
          <w:trHeight w:val="504" w:hRule="atLeast"/>
        </w:trPr>
        <w:tc>
          <w:tcPr>
            <w:tcW w:w="7639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44" w:right="0" w:firstLine="0"/>
              <w:spacing w:after="0" w:line="252" w:lineRule="auto"/>
              <w:jc w:val="left"/>
              <w:widowControl w:val="0"/>
            </w:pPr>
            <w:r>
              <w:rPr>
                <w:sz w:val="18"/>
              </w:rPr>
              <w:t>Dofinansowanie kosztów tworzenia i działania warsztatów terapii zajęciowej</w:t>
            </w:r>
            <w:r/>
          </w:p>
        </w:tc>
        <w:tc>
          <w:tcPr>
            <w:tcW w:w="1404" w:type="dxa"/>
            <w:vAlign w:val="center"/>
            <w:shd w:val="none"/>
            <w:tcMar>
              <w:top w:w="43" w:type="dxa"/>
              <w:left w:w="2" w:type="dxa"/>
              <w:right w:w="0" w:type="dxa"/>
            </w:tcMar>
            <w:tcBorders>
              <w:top w:val="single" w:sz="4" w:space="0" w:color="000000" tmln="10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42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  <w:u w:color="auto" w:val="single"/>
              </w:rPr>
              <w:t>879 900,- zł</w:t>
            </w:r>
            <w:r/>
          </w:p>
        </w:tc>
      </w:tr>
      <w:tr>
        <w:trPr>
          <w:tblHeader w:val="0"/>
          <w:cantSplit w:val="0"/>
          <w:trHeight w:val="108" w:hRule="atLeast"/>
        </w:trPr>
        <w:tc>
          <w:tcPr>
            <w:tcW w:w="7639" w:type="dxa"/>
            <w:vAlign w:val="center"/>
            <w:shd w:val="solid" w:color="CCCCCC" tmshd="6553856, 13421772, 16777215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56" w:firstLine="0"/>
              <w:spacing w:after="0" w:line="252" w:lineRule="auto"/>
              <w:jc w:val="right"/>
              <w:widowControl w:val="0"/>
            </w:pPr>
            <w:r>
              <w:rPr>
                <w:b/>
              </w:rPr>
              <w:t xml:space="preserve">RAZEM </w:t>
            </w:r>
            <w:r/>
          </w:p>
        </w:tc>
        <w:tc>
          <w:tcPr>
            <w:tcW w:w="1404" w:type="dxa"/>
            <w:vAlign w:val="center"/>
            <w:shd w:val="solid" w:color="CCCCCC" tmshd="6553856, 13421772, 16777215"/>
            <w:tcMar>
              <w:top w:w="43" w:type="dxa"/>
              <w:left w:w="2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2901957" protected="0"/>
          </w:tcPr>
          <w:p>
            <w:pPr>
              <w:ind w:left="0" w:right="47" w:firstLine="0"/>
              <w:spacing w:after="0" w:line="252" w:lineRule="auto"/>
              <w:jc w:val="right"/>
              <w:widowControl w:val="0"/>
            </w:pPr>
            <w:r>
              <w:rPr>
                <w:b/>
                <w:sz w:val="22"/>
              </w:rPr>
              <w:t>2 200 360,- zł</w:t>
            </w:r>
            <w:r/>
          </w:p>
        </w:tc>
      </w:tr>
    </w:tbl>
    <w:p>
      <w:pPr>
        <w:ind w:left="0" w:right="0" w:firstLine="0"/>
        <w:spacing w:after="0" w:line="360" w:lineRule="auto"/>
        <w:contextualSpacing/>
        <w:jc w:val="left"/>
        <w:rPr>
          <w:szCs w:val="24"/>
        </w:rPr>
      </w:pPr>
      <w:r>
        <w:rPr>
          <w:szCs w:val="24"/>
        </w:rPr>
      </w:r>
    </w:p>
    <w:sectPr>
      <w:footnotePr>
        <w:pos w:val="beneathText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6" w:top="1420" w:right="1356" w:bottom="1453" w:header="0" w:footer="0"/>
      <w:paperSrc w:first="15" w:other="15" a="15" b="15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ee"/>
    <w:family w:val="swiss"/>
    <w:pitch w:val="default"/>
  </w:font>
  <w:font w:name="Lucida Sans">
    <w:panose1 w:val="020B0602030504020204"/>
    <w:charset w:val="00"/>
    <w:family w:val="swiss"/>
    <w:pitch w:val="default"/>
  </w:font>
  <w:font w:name="Segoe UI">
    <w:panose1 w:val="020B0502040204020203"/>
    <w:charset w:val="ee"/>
    <w:family w:val="swiss"/>
    <w:pitch w:val="default"/>
  </w:font>
  <w:font w:name="Segoe UI Symbol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owana 3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WW8Num3"/>
    <w:lvl w:ilvl="0">
      <w:start w:val="1"/>
      <w:numFmt w:val="lowerLetter"/>
      <w:suff w:val="tab"/>
      <w:lvlText w:val="%1)"/>
      <w:lvlJc w:val="left"/>
      <w:pPr>
        <w:ind w:left="693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1">
      <w:numFmt w:val="bullet"/>
      <w:suff w:val="tab"/>
      <w:lvlText w:val="-"/>
      <w:lvlJc w:val="left"/>
      <w:pPr>
        <w:ind w:left="994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2">
      <w:numFmt w:val="bullet"/>
      <w:suff w:val="tab"/>
      <w:lvlText w:val="▪"/>
      <w:lvlJc w:val="left"/>
      <w:pPr>
        <w:ind w:left="178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3">
      <w:numFmt w:val="bullet"/>
      <w:suff w:val="tab"/>
      <w:lvlText w:val="•"/>
      <w:lvlJc w:val="left"/>
      <w:pPr>
        <w:ind w:left="250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4">
      <w:numFmt w:val="bullet"/>
      <w:suff w:val="tab"/>
      <w:lvlText w:val="o"/>
      <w:lvlJc w:val="left"/>
      <w:pPr>
        <w:ind w:left="322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5">
      <w:numFmt w:val="bullet"/>
      <w:suff w:val="tab"/>
      <w:lvlText w:val="▪"/>
      <w:lvlJc w:val="left"/>
      <w:pPr>
        <w:ind w:left="394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6">
      <w:numFmt w:val="bullet"/>
      <w:suff w:val="tab"/>
      <w:lvlText w:val="•"/>
      <w:lvlJc w:val="left"/>
      <w:pPr>
        <w:ind w:left="466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7">
      <w:numFmt w:val="bullet"/>
      <w:suff w:val="tab"/>
      <w:lvlText w:val="o"/>
      <w:lvlJc w:val="left"/>
      <w:pPr>
        <w:ind w:left="538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  <w:lvl w:ilvl="8">
      <w:numFmt w:val="bullet"/>
      <w:suff w:val="tab"/>
      <w:lvlText w:val="▪"/>
      <w:lvlJc w:val="left"/>
      <w:pPr>
        <w:ind w:left="6108" w:hanging="0"/>
      </w:pPr>
      <w:rPr>
        <w:rFonts w:ascii="Times New Roman" w:hAnsi="Times New Roman" w:eastAsia="Times New Roman" w:cs="Times New Roman"/>
        <w:b w:val="0"/>
        <w:color w:val="000000"/>
        <w:sz w:val="23"/>
        <w:szCs w:val="23"/>
        <w:u w:color="auto" w:val="none"/>
        <w:shd w:val="clear" w:fill="auto"/>
      </w:rPr>
    </w:lvl>
  </w:abstractNum>
  <w:abstractNum w:abstractNumId="4">
    <w:multiLevelType w:val="hybridMultilevel"/>
    <w:name w:val="Lista numerowana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multiLevelType w:val="hybridMultilevel"/>
    <w:name w:val="WW8Num2"/>
    <w:lvl w:ilvl="0">
      <w:start w:val="1"/>
      <w:numFmt w:val="lowerLetter"/>
      <w:suff w:val="tab"/>
      <w:lvlText w:val="%1)"/>
      <w:lvlJc w:val="left"/>
      <w:pPr>
        <w:ind w:left="693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1">
      <w:start w:val="1"/>
      <w:numFmt w:val="decimal"/>
      <w:suff w:val="tab"/>
      <w:lvlText w:val="%2"/>
      <w:lvlJc w:val="left"/>
      <w:pPr>
        <w:ind w:left="893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2">
      <w:start w:val="1"/>
      <w:numFmt w:val="lowerRoman"/>
      <w:suff w:val="tab"/>
      <w:lvlText w:val="%3"/>
      <w:lvlJc w:val="left"/>
      <w:pPr>
        <w:ind w:left="180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3">
      <w:start w:val="1"/>
      <w:numFmt w:val="decimal"/>
      <w:suff w:val="tab"/>
      <w:lvlText w:val="%4"/>
      <w:lvlJc w:val="left"/>
      <w:pPr>
        <w:ind w:left="252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4">
      <w:start w:val="1"/>
      <w:numFmt w:val="lowerLetter"/>
      <w:suff w:val="tab"/>
      <w:lvlText w:val="%5"/>
      <w:lvlJc w:val="left"/>
      <w:pPr>
        <w:ind w:left="324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5">
      <w:start w:val="1"/>
      <w:numFmt w:val="lowerRoman"/>
      <w:suff w:val="tab"/>
      <w:lvlText w:val="%6"/>
      <w:lvlJc w:val="left"/>
      <w:pPr>
        <w:ind w:left="396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6">
      <w:start w:val="1"/>
      <w:numFmt w:val="decimal"/>
      <w:suff w:val="tab"/>
      <w:lvlText w:val="%7"/>
      <w:lvlJc w:val="left"/>
      <w:pPr>
        <w:ind w:left="468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7">
      <w:start w:val="1"/>
      <w:numFmt w:val="lowerLetter"/>
      <w:suff w:val="tab"/>
      <w:lvlText w:val="%8"/>
      <w:lvlJc w:val="left"/>
      <w:pPr>
        <w:ind w:left="540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  <w:lvl w:ilvl="8">
      <w:start w:val="1"/>
      <w:numFmt w:val="lowerRoman"/>
      <w:suff w:val="tab"/>
      <w:lvlText w:val="%9"/>
      <w:lvlJc w:val="left"/>
      <w:pPr>
        <w:ind w:left="6120" w:hanging="0"/>
      </w:pPr>
      <w:rPr>
        <w:rFonts w:ascii="Times New Roman" w:hAnsi="Times New Roman" w:eastAsia="Times New Roman" w:cs="Times New Roman"/>
        <w:b w:val="0"/>
        <w:color w:val="000000"/>
        <w:sz w:val="23"/>
        <w:u w:color="auto" w:val="none"/>
        <w:shd w:val="clear" w:fil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beneathText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742901957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ind w:left="370" w:right="62" w:hanging="370"/>
        <w:spacing w:after="33" w:line="365" w:lineRule="auto"/>
        <w:jc w:val="both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  <w:color w:val="000000"/>
      <w:sz w:val="24"/>
      <w:szCs w:val="22"/>
    </w:rPr>
  </w:style>
  <w:style w:type="paragraph" w:styleId="para1">
    <w:name w:val="heading 1"/>
    <w:qFormat/>
    <w:next w:val="para0"/>
    <w:pPr>
      <w:numPr>
        <w:ilvl w:val="0"/>
        <w:numId w:val="4"/>
      </w:numPr>
      <w:ind w:left="10" w:hanging="10"/>
      <w:spacing w:after="0" w:line="398" w:lineRule="auto"/>
      <w:jc w:val="center"/>
      <w:keepNext/>
      <w:outlineLvl w:val="0"/>
      <w:keepLines/>
      <w:tabs defTabSz="708">
        <w:tab w:val="left" w:pos="0" w:leader="none"/>
      </w:tabs>
    </w:pPr>
    <w:rPr>
      <w:rFonts w:eastAsia="SimSun"/>
      <w:b/>
      <w:color w:val="000000"/>
      <w:kern w:val="1"/>
      <w:sz w:val="24"/>
      <w:szCs w:val="22"/>
      <w:lang w:val="pl-pl" w:eastAsia="zh-cn" w:bidi="ar-sa"/>
    </w:rPr>
  </w:style>
  <w:style w:type="paragraph" w:styleId="para2" w:customStyle="1">
    <w:name w:val="Nagłówek*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6" w:customStyle="1">
    <w:name w:val="Indeks"/>
    <w:qFormat/>
    <w:basedOn w:val="para0"/>
    <w:pPr>
      <w:suppressLineNumbers/>
    </w:pPr>
    <w:rPr>
      <w:rFonts w:cs="Lucida Sans"/>
    </w:rPr>
  </w:style>
  <w:style w:type="paragraph" w:styleId="para7" w:customStyle="1">
    <w:name w:val="Główka i stopka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8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0" w:customStyle="1">
    <w:name w:val="Tekst dymka1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11" w:customStyle="1">
    <w:name w:val="Zawartość tabeli"/>
    <w:qFormat/>
    <w:basedOn w:val="para0"/>
    <w:pPr>
      <w:suppressLineNumbers/>
      <w:widowControl w:val="0"/>
    </w:pPr>
  </w:style>
  <w:style w:type="paragraph" w:styleId="para12" w:customStyle="1">
    <w:name w:val="Nagłówek tabeli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1" w:customStyle="1">
    <w:name w:val="WW8Num3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2" w:customStyle="1">
    <w:name w:val="WW8Num3z1"/>
    <w:rPr>
      <w:rFonts w:ascii="Times New Roman" w:hAnsi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3" w:customStyle="1">
    <w:name w:val="WW8Num2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4" w:customStyle="1">
    <w:name w:val="WW8Num4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5" w:customStyle="1">
    <w:name w:val="WW8Num5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6" w:customStyle="1">
    <w:name w:val="WW8Num6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7" w:customStyle="1">
    <w:name w:val="WW8Num7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8" w:customStyle="1">
    <w:name w:val="WW8Num8z0"/>
    <w:rPr>
      <w:rFonts w:ascii="Times New Roman" w:hAnsi="Times New Roman" w:eastAsia="Times New Roman" w:cs="Times New Roman"/>
      <w:b/>
      <w:bCs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9" w:customStyle="1">
    <w:name w:val="WW8Num8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0" w:customStyle="1">
    <w:name w:val="WW8Num9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1" w:customStyle="1">
    <w:name w:val="WW8Num10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2" w:customStyle="1">
    <w:name w:val="WW8Num11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23" w:customStyle="1">
    <w:name w:val="WW8Num12z0"/>
    <w:rPr>
      <w:rFonts w:ascii="Times New Roman" w:hAnsi="Times New Roman" w:eastAsia="Times New Roman" w:cs="Times New Roman"/>
      <w:b/>
      <w:bCs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4" w:customStyle="1">
    <w:name w:val="WW8Num12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5" w:customStyle="1">
    <w:name w:val="WW8Num12z3"/>
    <w:rPr>
      <w:rFonts w:ascii="Arial" w:hAnsi="Arial" w:eastAsia="Arial" w:cs="Arial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6" w:customStyle="1">
    <w:name w:val="WW8Num12z4"/>
    <w:rPr>
      <w:rFonts w:ascii="Segoe UI Symbol" w:hAnsi="Segoe UI Symbol" w:eastAsia="Segoe UI Symbol" w:cs="Segoe UI Symbol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7" w:customStyle="1">
    <w:name w:val="WW8Num13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8" w:customStyle="1">
    <w:name w:val="WW8Num14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9" w:customStyle="1">
    <w:name w:val="Domyślna czcionka akapitu*"/>
  </w:style>
  <w:style w:type="character" w:styleId="char30" w:customStyle="1">
    <w:name w:val="Nagłówek 1 Znak"/>
    <w:rPr>
      <w:rFonts w:ascii="Times New Roman" w:hAnsi="Times New Roman" w:eastAsia="Times New Roman" w:cs="Times New Roman"/>
      <w:b/>
      <w:color w:val="000000"/>
      <w:sz w:val="24"/>
    </w:rPr>
  </w:style>
  <w:style w:type="character" w:styleId="char31" w:customStyle="1">
    <w:name w:val="Nagłówek Znak"/>
    <w:rPr>
      <w:rFonts w:ascii="Times New Roman" w:hAnsi="Times New Roman" w:eastAsia="Times New Roman" w:cs="Times New Roman"/>
      <w:color w:val="000000"/>
      <w:sz w:val="24"/>
    </w:rPr>
  </w:style>
  <w:style w:type="character" w:styleId="char32" w:customStyle="1">
    <w:name w:val="Stopka Znak"/>
    <w:rPr>
      <w:rFonts w:ascii="Times New Roman" w:hAnsi="Times New Roman" w:eastAsia="Times New Roman" w:cs="Times New Roman"/>
      <w:color w:val="000000"/>
      <w:sz w:val="24"/>
    </w:rPr>
  </w:style>
  <w:style w:type="character" w:styleId="char33" w:customStyle="1">
    <w:name w:val="Tekst dymka Znak"/>
    <w:rPr>
      <w:rFonts w:ascii="Segoe UI" w:hAnsi="Segoe UI" w:cs="Segoe UI"/>
      <w:color w:val="000000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ind w:left="370" w:right="62" w:hanging="370"/>
        <w:spacing w:after="33" w:line="365" w:lineRule="auto"/>
        <w:jc w:val="both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  <w:color w:val="000000"/>
      <w:sz w:val="24"/>
      <w:szCs w:val="22"/>
    </w:rPr>
  </w:style>
  <w:style w:type="paragraph" w:styleId="para1">
    <w:name w:val="heading 1"/>
    <w:qFormat/>
    <w:next w:val="para0"/>
    <w:pPr>
      <w:numPr>
        <w:ilvl w:val="0"/>
        <w:numId w:val="4"/>
      </w:numPr>
      <w:ind w:left="10" w:hanging="10"/>
      <w:spacing w:after="0" w:line="398" w:lineRule="auto"/>
      <w:jc w:val="center"/>
      <w:keepNext/>
      <w:outlineLvl w:val="0"/>
      <w:keepLines/>
      <w:tabs defTabSz="708">
        <w:tab w:val="left" w:pos="0" w:leader="none"/>
      </w:tabs>
    </w:pPr>
    <w:rPr>
      <w:rFonts w:eastAsia="SimSun"/>
      <w:b/>
      <w:color w:val="000000"/>
      <w:kern w:val="1"/>
      <w:sz w:val="24"/>
      <w:szCs w:val="22"/>
      <w:lang w:val="pl-pl" w:eastAsia="zh-cn" w:bidi="ar-sa"/>
    </w:rPr>
  </w:style>
  <w:style w:type="paragraph" w:styleId="para2" w:customStyle="1">
    <w:name w:val="Nagłówek*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Cs w:val="24"/>
    </w:rPr>
  </w:style>
  <w:style w:type="paragraph" w:styleId="para6" w:customStyle="1">
    <w:name w:val="Indeks"/>
    <w:qFormat/>
    <w:basedOn w:val="para0"/>
    <w:pPr>
      <w:suppressLineNumbers/>
    </w:pPr>
    <w:rPr>
      <w:rFonts w:cs="Lucida Sans"/>
    </w:rPr>
  </w:style>
  <w:style w:type="paragraph" w:styleId="para7" w:customStyle="1">
    <w:name w:val="Główka i stopka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8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0" w:customStyle="1">
    <w:name w:val="Tekst dymka1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11" w:customStyle="1">
    <w:name w:val="Zawartość tabeli"/>
    <w:qFormat/>
    <w:basedOn w:val="para0"/>
    <w:pPr>
      <w:suppressLineNumbers/>
      <w:widowControl w:val="0"/>
    </w:pPr>
  </w:style>
  <w:style w:type="paragraph" w:styleId="para12" w:customStyle="1">
    <w:name w:val="Nagłówek tabeli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1" w:customStyle="1">
    <w:name w:val="WW8Num3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2" w:customStyle="1">
    <w:name w:val="WW8Num3z1"/>
    <w:rPr>
      <w:rFonts w:ascii="Times New Roman" w:hAnsi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3" w:customStyle="1">
    <w:name w:val="WW8Num2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4" w:customStyle="1">
    <w:name w:val="WW8Num4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5" w:customStyle="1">
    <w:name w:val="WW8Num5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6" w:customStyle="1">
    <w:name w:val="WW8Num6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7" w:customStyle="1">
    <w:name w:val="WW8Num7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18" w:customStyle="1">
    <w:name w:val="WW8Num8z0"/>
    <w:rPr>
      <w:rFonts w:ascii="Times New Roman" w:hAnsi="Times New Roman" w:eastAsia="Times New Roman" w:cs="Times New Roman"/>
      <w:b/>
      <w:bCs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19" w:customStyle="1">
    <w:name w:val="WW8Num8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0" w:customStyle="1">
    <w:name w:val="WW8Num9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1" w:customStyle="1">
    <w:name w:val="WW8Num10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2" w:customStyle="1">
    <w:name w:val="WW8Num11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3"/>
      <w:szCs w:val="23"/>
      <w:u w:color="auto" w:val="none"/>
      <w:shd w:val="clear" w:fill="auto"/>
      <w:vertAlign w:val="baseline"/>
    </w:rPr>
  </w:style>
  <w:style w:type="character" w:styleId="char23" w:customStyle="1">
    <w:name w:val="WW8Num12z0"/>
    <w:rPr>
      <w:rFonts w:ascii="Times New Roman" w:hAnsi="Times New Roman" w:eastAsia="Times New Roman" w:cs="Times New Roman"/>
      <w:b/>
      <w:bCs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4" w:customStyle="1">
    <w:name w:val="WW8Num12z1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5" w:customStyle="1">
    <w:name w:val="WW8Num12z3"/>
    <w:rPr>
      <w:rFonts w:ascii="Arial" w:hAnsi="Arial" w:eastAsia="Arial" w:cs="Arial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6" w:customStyle="1">
    <w:name w:val="WW8Num12z4"/>
    <w:rPr>
      <w:rFonts w:ascii="Segoe UI Symbol" w:hAnsi="Segoe UI Symbol" w:eastAsia="Segoe UI Symbol" w:cs="Segoe UI Symbol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7" w:customStyle="1">
    <w:name w:val="WW8Num13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8" w:customStyle="1">
    <w:name w:val="WW8Num14z0"/>
    <w:rPr>
      <w:rFonts w:ascii="Times New Roman" w:hAnsi="Times New Roman" w:eastAsia="Times New Roman" w:cs="Times New Roman"/>
      <w:b w:val="0"/>
      <w:i w:val="0"/>
      <w:strike w:val="0"/>
      <w:dstrike w:val="0"/>
      <w:color w:val="000000"/>
      <w:sz w:val="24"/>
      <w:szCs w:val="24"/>
      <w:u w:color="auto" w:val="none"/>
      <w:shd w:val="clear" w:fill="auto"/>
      <w:vertAlign w:val="baseline"/>
    </w:rPr>
  </w:style>
  <w:style w:type="character" w:styleId="char29" w:customStyle="1">
    <w:name w:val="Domyślna czcionka akapitu*"/>
  </w:style>
  <w:style w:type="character" w:styleId="char30" w:customStyle="1">
    <w:name w:val="Nagłówek 1 Znak"/>
    <w:rPr>
      <w:rFonts w:ascii="Times New Roman" w:hAnsi="Times New Roman" w:eastAsia="Times New Roman" w:cs="Times New Roman"/>
      <w:b/>
      <w:color w:val="000000"/>
      <w:sz w:val="24"/>
    </w:rPr>
  </w:style>
  <w:style w:type="character" w:styleId="char31" w:customStyle="1">
    <w:name w:val="Nagłówek Znak"/>
    <w:rPr>
      <w:rFonts w:ascii="Times New Roman" w:hAnsi="Times New Roman" w:eastAsia="Times New Roman" w:cs="Times New Roman"/>
      <w:color w:val="000000"/>
      <w:sz w:val="24"/>
    </w:rPr>
  </w:style>
  <w:style w:type="character" w:styleId="char32" w:customStyle="1">
    <w:name w:val="Stopka Znak"/>
    <w:rPr>
      <w:rFonts w:ascii="Times New Roman" w:hAnsi="Times New Roman" w:eastAsia="Times New Roman" w:cs="Times New Roman"/>
      <w:color w:val="000000"/>
      <w:sz w:val="24"/>
    </w:rPr>
  </w:style>
  <w:style w:type="character" w:styleId="char33" w:customStyle="1">
    <w:name w:val="Tekst dymka Znak"/>
    <w:rPr>
      <w:rFonts w:ascii="Segoe UI" w:hAnsi="Segoe UI" w:cs="Segoe UI"/>
      <w:color w:val="000000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SimSu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Kamil_PFRON</dc:creator>
  <cp:keywords/>
  <dc:description/>
  <cp:lastModifiedBy/>
  <cp:revision>13</cp:revision>
  <cp:lastPrinted>2025-03-24T11:59:52Z</cp:lastPrinted>
  <dcterms:created xsi:type="dcterms:W3CDTF">2024-03-07T07:10:00Z</dcterms:created>
  <dcterms:modified xsi:type="dcterms:W3CDTF">2025-03-25T11:25:57Z</dcterms:modified>
</cp:coreProperties>
</file>