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240" w:after="100"/>
        <w:ind w:firstLine="709" w:start="6381"/>
        <w:contextualSpacing/>
        <w:jc w:val="end"/>
        <w:rPr/>
      </w:pPr>
      <w:r>
        <w:rPr>
          <w:rFonts w:cs="Times New Roman"/>
          <w:b/>
          <w:bCs/>
        </w:rPr>
        <w:t>projekt</w:t>
      </w:r>
    </w:p>
    <w:p>
      <w:pPr>
        <w:pStyle w:val="Nagwek1"/>
        <w:spacing w:before="0" w:after="10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Nr…......./2026</w:t>
      </w:r>
    </w:p>
    <w:p>
      <w:pPr>
        <w:pStyle w:val="Nagwek1"/>
        <w:spacing w:before="0" w:after="10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Powiatu Płońskiego</w:t>
      </w:r>
    </w:p>
    <w:p>
      <w:pPr>
        <w:pStyle w:val="Nagwek1"/>
        <w:spacing w:before="0" w:after="10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............................ 2026 r.</w:t>
        <w:br/>
        <w:t>zmieniająca uchwałę w sprawie przyjęcia ,,Powiatowego Programu Rozwoju</w:t>
        <w:br/>
        <w:t>Pieczy Zastępczej na lata 2024-2026”</w:t>
      </w:r>
    </w:p>
    <w:p>
      <w:pPr>
        <w:pStyle w:val="Textbody"/>
        <w:spacing w:before="240" w:after="100"/>
        <w:contextualSpacing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before="240" w:after="100"/>
        <w:contextualSpacing/>
        <w:jc w:val="both"/>
        <w:rPr>
          <w:rFonts w:cs="Times New Roman"/>
        </w:rPr>
      </w:pPr>
      <w:r>
        <w:rPr>
          <w:rFonts w:cs="Times New Roman"/>
        </w:rPr>
        <w:tab/>
        <w:t>Na podstawie art. 4 ust. 1 pkt 3a, art. 12 pkt 11 ustawy z dnia 5 czerwca 1998 r.</w:t>
        <w:br/>
        <w:t xml:space="preserve">o samorządzie powiatowym (t. j. Dz. U. z 2025 r., poz. 1684 z późn. zm.), art.180 pkt 1 ustawy </w:t>
        <w:br/>
        <w:t>z dnia 9 czerwca 2011 r. o wspieraniu rodziny i systemie  pieczy zastępczej (Dz. U. z 2025 r.</w:t>
        <w:br/>
        <w:t xml:space="preserve">poz. 49 ze zm.) </w:t>
      </w:r>
      <w:r>
        <w:rPr>
          <w:rFonts w:cs="Times New Roman"/>
          <w:b/>
          <w:bCs/>
        </w:rPr>
        <w:t>Rada Powiatu Płońskiego</w:t>
      </w:r>
      <w:r>
        <w:rPr>
          <w:rFonts w:cs="Times New Roman"/>
        </w:rPr>
        <w:t xml:space="preserve"> uchwala, co następuje:  </w:t>
      </w:r>
    </w:p>
    <w:p>
      <w:pPr>
        <w:pStyle w:val="Textbody"/>
        <w:spacing w:before="240" w:after="100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before="0" w:after="0"/>
        <w:contextualSpacing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§1</w:t>
      </w:r>
    </w:p>
    <w:p>
      <w:pPr>
        <w:pStyle w:val="Textbody"/>
        <w:spacing w:before="240" w:after="100"/>
        <w:contextualSpacing/>
        <w:jc w:val="both"/>
        <w:rPr>
          <w:rFonts w:cs="Times New Roman"/>
        </w:rPr>
      </w:pPr>
      <w:r>
        <w:rPr>
          <w:rFonts w:cs="Times New Roman"/>
        </w:rPr>
        <w:t>W załączniku do uchwały Nr  LXXIX/455/2024 Rady Powiatu Płońskiego z dnia 31 stycznia 2024 r. w sprawie przyjęcia ,,Powiatowego Programu Rozwoju Pieczy Zastępczej na lata 2024-2026” wprowadza się następujące zmiany:</w:t>
      </w:r>
    </w:p>
    <w:p>
      <w:pPr>
        <w:pStyle w:val="Textbody"/>
        <w:numPr>
          <w:ilvl w:val="0"/>
          <w:numId w:val="1"/>
        </w:numPr>
        <w:spacing w:before="240" w:after="100"/>
        <w:contextualSpacing/>
        <w:jc w:val="both"/>
        <w:rPr>
          <w:rFonts w:cs="Times New Roman"/>
        </w:rPr>
      </w:pPr>
      <w:r>
        <w:rPr>
          <w:rFonts w:cs="Times New Roman"/>
        </w:rPr>
        <w:t>Tabela Nr 17 zawarta w punkcie 7 Programu otrzymuje brzmienie:</w:t>
      </w:r>
    </w:p>
    <w:p>
      <w:pPr>
        <w:pStyle w:val="Textbody"/>
        <w:spacing w:before="240" w:after="100"/>
        <w:ind w:start="720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spacing w:before="240" w:after="10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,,Tabela nr 17. Limit rodzin zastępczych zawodowych na lata 2024-2026</w:t>
      </w:r>
    </w:p>
    <w:tbl>
      <w:tblPr>
        <w:tblStyle w:val="Tabela-Siatka"/>
        <w:tblW w:w="651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74"/>
        <w:gridCol w:w="4375"/>
        <w:gridCol w:w="567"/>
      </w:tblGrid>
      <w:tr>
        <w:trPr>
          <w:trHeight w:val="1026" w:hRule="atLeast"/>
        </w:trPr>
        <w:tc>
          <w:tcPr>
            <w:tcW w:w="1574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>Rok</w:t>
            </w:r>
          </w:p>
        </w:tc>
        <w:tc>
          <w:tcPr>
            <w:tcW w:w="4375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both"/>
              <w:textAlignment w:val="baseline"/>
              <w:rPr>
                <w:rFonts w:cs="Times New Roman"/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 xml:space="preserve">Liczba rodzin zastępczych zawodowych </w:t>
            </w:r>
          </w:p>
          <w:p>
            <w:pPr>
              <w:pStyle w:val="Textbody"/>
              <w:widowControl w:val="false"/>
              <w:spacing w:before="240" w:after="100"/>
              <w:contextualSpacing/>
              <w:jc w:val="both"/>
              <w:textAlignment w:val="baseline"/>
              <w:rPr>
                <w:rFonts w:cs="Times New Roman"/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>(w tym rodzinnych domów dziecka)</w:t>
            </w:r>
          </w:p>
        </w:tc>
        <w:tc>
          <w:tcPr>
            <w:tcW w:w="567" w:type="dxa"/>
            <w:tcBorders>
              <w:top w:val="nil"/>
              <w:bottom w:val="nil"/>
              <w:end w:val="nil"/>
            </w:tcBorders>
          </w:tcPr>
          <w:p>
            <w:pPr>
              <w:pStyle w:val="Textbody"/>
              <w:widowControl w:val="false"/>
              <w:spacing w:before="240" w:after="100"/>
              <w:contextualSpacing/>
              <w:jc w:val="both"/>
              <w:textAlignment w:val="baseline"/>
              <w:rPr>
                <w:rFonts w:cs="Times New Roman"/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2024</w:t>
            </w:r>
          </w:p>
        </w:tc>
        <w:tc>
          <w:tcPr>
            <w:tcW w:w="4375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7 (2)</w:t>
            </w:r>
          </w:p>
        </w:tc>
        <w:tc>
          <w:tcPr>
            <w:tcW w:w="567" w:type="dxa"/>
            <w:tcBorders>
              <w:top w:val="nil"/>
              <w:bottom w:val="nil"/>
              <w:end w:val="nil"/>
            </w:tcBorders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2025</w:t>
            </w:r>
          </w:p>
        </w:tc>
        <w:tc>
          <w:tcPr>
            <w:tcW w:w="4375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7 (2)</w:t>
            </w:r>
          </w:p>
        </w:tc>
        <w:tc>
          <w:tcPr>
            <w:tcW w:w="567" w:type="dxa"/>
            <w:tcBorders>
              <w:top w:val="nil"/>
              <w:bottom w:val="nil"/>
              <w:end w:val="nil"/>
            </w:tcBorders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2026</w:t>
            </w:r>
          </w:p>
        </w:tc>
        <w:tc>
          <w:tcPr>
            <w:tcW w:w="4375" w:type="dxa"/>
            <w:tcBorders/>
            <w:vAlign w:val="center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9 (3)</w:t>
            </w:r>
          </w:p>
        </w:tc>
        <w:tc>
          <w:tcPr>
            <w:tcW w:w="567" w:type="dxa"/>
            <w:tcBorders>
              <w:top w:val="nil"/>
              <w:bottom w:val="nil"/>
              <w:end w:val="nil"/>
            </w:tcBorders>
            <w:vAlign w:val="bottom"/>
          </w:tcPr>
          <w:p>
            <w:pPr>
              <w:pStyle w:val="Textbody"/>
              <w:widowControl w:val="false"/>
              <w:spacing w:before="240" w:after="100"/>
              <w:contextualSpacing/>
              <w:jc w:val="center"/>
              <w:textAlignment w:val="baseline"/>
              <w:rPr>
                <w:rFonts w:cs="Times New Roman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pl-PL" w:eastAsia="zh-CN" w:bidi="hi-IN"/>
              </w:rPr>
              <w:t>”</w:t>
            </w:r>
          </w:p>
        </w:tc>
      </w:tr>
    </w:tbl>
    <w:p>
      <w:pPr>
        <w:pStyle w:val="Textbody"/>
        <w:spacing w:before="240" w:after="100"/>
        <w:contextualSpacing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Standard"/>
        <w:spacing w:before="0" w:after="0"/>
        <w:contextualSpacing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§2</w:t>
      </w:r>
    </w:p>
    <w:p>
      <w:pPr>
        <w:pStyle w:val="Textbody"/>
        <w:spacing w:before="240" w:after="100"/>
        <w:contextualSpacing/>
        <w:jc w:val="both"/>
        <w:rPr>
          <w:rFonts w:cs="Times New Roman"/>
        </w:rPr>
      </w:pPr>
      <w:r>
        <w:rPr>
          <w:rFonts w:cs="Times New Roman"/>
        </w:rPr>
        <w:t>Wykonanie uchwały powierza się Zarządowi Powiatu Płońskiego.</w:t>
      </w:r>
    </w:p>
    <w:p>
      <w:pPr>
        <w:pStyle w:val="Textbody"/>
        <w:spacing w:before="240" w:after="100"/>
        <w:contextualSpacing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Textbody"/>
        <w:spacing w:before="240" w:after="100"/>
        <w:contextualSpacing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§3</w:t>
      </w:r>
    </w:p>
    <w:p>
      <w:pPr>
        <w:pStyle w:val="Textbody"/>
        <w:spacing w:before="240" w:after="100"/>
        <w:contextualSpacing/>
        <w:rPr>
          <w:rFonts w:cs="Times New Roman"/>
        </w:rPr>
      </w:pPr>
      <w:r>
        <w:rPr>
          <w:rFonts w:cs="Times New Roman"/>
        </w:rPr>
        <w:t>Uchwała wchodzi w życie z dniem podjęcia.</w:t>
      </w:r>
    </w:p>
    <w:p>
      <w:pPr>
        <w:pStyle w:val="Textbody"/>
        <w:spacing w:before="240" w:after="0"/>
        <w:contextualSpacing/>
        <w:jc w:val="end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spacing w:before="240" w:after="0"/>
        <w:contextualSpacing/>
        <w:jc w:val="end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spacing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Przewodniczący </w:t>
        <w:br/>
        <w:t xml:space="preserve">Rady Powiatu Płońskiego </w:t>
        <w:br/>
      </w:r>
    </w:p>
    <w:p>
      <w:pPr>
        <w:pStyle w:val="Textbody"/>
        <w:spacing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  <w:t>Andrzej Stolpa</w:t>
      </w:r>
      <w:r>
        <w:rPr>
          <w:rFonts w:cs="Times New Roman"/>
        </w:rPr>
        <w:t xml:space="preserve">      </w:t>
      </w:r>
    </w:p>
    <w:p>
      <w:pPr>
        <w:pStyle w:val="Textbody"/>
        <w:spacing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0"/>
        <w:ind w:start="4254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tbl>
      <w:tblPr>
        <w:tblW w:w="89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8"/>
        <w:gridCol w:w="2265"/>
        <w:gridCol w:w="2265"/>
        <w:gridCol w:w="2266"/>
      </w:tblGrid>
      <w:tr>
        <w:trPr/>
        <w:tc>
          <w:tcPr>
            <w:tcW w:w="2128" w:type="dxa"/>
            <w:vMerge w:val="restart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Sporządził</w:t>
            </w:r>
          </w:p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(data, podpis, zajmowane stanowisko)</w:t>
            </w:r>
          </w:p>
        </w:tc>
        <w:tc>
          <w:tcPr>
            <w:tcW w:w="6796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SPRAWDZIŁ (data, podpis, zajmowane stanowisko – pieczęć)</w:t>
            </w:r>
          </w:p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</w:tr>
      <w:tr>
        <w:trPr/>
        <w:tc>
          <w:tcPr>
            <w:tcW w:w="2128" w:type="dxa"/>
            <w:vMerge w:val="continue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6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pod względem merytorycznym</w:t>
            </w:r>
          </w:p>
        </w:tc>
        <w:tc>
          <w:tcPr>
            <w:tcW w:w="226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pod względem formalno-prawnym</w:t>
            </w:r>
          </w:p>
        </w:tc>
        <w:tc>
          <w:tcPr>
            <w:tcW w:w="22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 jednostki</w:t>
            </w:r>
          </w:p>
          <w:p>
            <w:pPr>
              <w:pStyle w:val="Standard"/>
              <w:spacing w:before="0" w:after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organizacyjnej    powiatu</w:t>
            </w:r>
          </w:p>
        </w:tc>
      </w:tr>
      <w:tr>
        <w:trPr>
          <w:trHeight w:val="562" w:hRule="atLeast"/>
        </w:trPr>
        <w:tc>
          <w:tcPr>
            <w:tcW w:w="212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266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Standard"/>
              <w:spacing w:before="0" w:after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</w:tr>
    </w:tbl>
    <w:p>
      <w:pPr>
        <w:pStyle w:val="Nagwek1"/>
        <w:spacing w:before="0" w:after="1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spacing w:lineRule="auto" w:line="360" w:before="240" w:after="10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10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UZASADNIENIE</w:t>
      </w:r>
    </w:p>
    <w:p>
      <w:pPr>
        <w:pStyle w:val="Textbody"/>
        <w:spacing w:lineRule="auto" w:line="360" w:before="240" w:after="10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spacing w:lineRule="auto" w:line="360" w:before="240" w:after="10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Zmiana ,,Powiatowego Programu Rozwoju Pieczy Zastępczej na lata 2024-2026” wynika </w:t>
        <w:br/>
        <w:t xml:space="preserve">z konieczności dostosowania limitu rodzin zastępczych zawodowych oraz prowadzących rodzinne domy dziecka do aktualnych potrzeb Powiatu Płońskiego w zakresie zapewnienia opieki dzieciom pozbawionym właściwej opieki przez rodziców biologicznych. Wprowadzenie zmiany umożliwi efektywniejszą realizację zadań własnych powiatu wynikających z ustawy z dnia 9 czerwca </w:t>
        <w:br/>
        <w:t>2011 r. o wspieraniu rodziny i systemie  pieczy zastępczej oraz zapewni szybsze reagowanie na bieżące potrzeby w zakresie organizacji rodzinnej pieczy zastępczej. Zmiana limitu rodzin zastępczych oraz prowadzących rodzinne domy dziecka nie wpłynie niekorzystnie na budżet Powiatu, a środki finansowe  niezbędne do realizacji Programu zostały zabezpieczone w planie finansowym Powiatu.</w:t>
      </w:r>
    </w:p>
    <w:p>
      <w:pPr>
        <w:pStyle w:val="Standard"/>
        <w:spacing w:before="240" w:after="100"/>
        <w:contextualSpacing/>
        <w:jc w:val="center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Domylnaczcionkaakapitu" w:customStyle="1">
    <w:name w:val="Domy?lna czcionka akapitu"/>
    <w:qFormat/>
    <w:rPr/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  <w:textAlignment w:val="auto"/>
    </w:pPr>
    <w:rPr>
      <w:rFonts w:ascii="Arial" w:hAnsi="Arial" w:eastAsia="Microsoft YaHei"/>
      <w:sz w:val="28"/>
      <w:szCs w:val="28"/>
    </w:rPr>
  </w:style>
  <w:style w:type="paragraph" w:styleId="TableContents" w:customStyle="1">
    <w:name w:val="Table Contents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66d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LibreOffice/26.2.1.2$Windows_X86_64 LibreOffice_project/620$Build-2</Application>
  <AppVersion>15.0000</AppVersion>
  <Pages>2</Pages>
  <Words>309</Words>
  <Characters>1899</Characters>
  <CharactersWithSpaces>2198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2026-05-14T10:54:00Z</dcterms:created>
  <dc:creator>Małgorzata Panek</dc:creator>
  <dc:description/>
  <dc:language>pl-PL</dc:language>
  <cp:lastModifiedBy/>
  <cp:lastPrinted>2026-05-14T11:35:00Z</cp:lastPrinted>
  <dcterms:modified xsi:type="dcterms:W3CDTF">2026-05-27T07:38:39Z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